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7B7E63" w:rsidP="00807C13">
      <w:pPr>
        <w:widowControl w:val="0"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7776C7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7776C7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7776C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7776C7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7776C7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7776C7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7F3F5E">
        <w:rPr>
          <w:sz w:val="26"/>
          <w:szCs w:val="26"/>
        </w:rPr>
        <w:t>экзаменов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участниковэкзаменов - детей-инвалидов и инвалидов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2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3"/>
      </w:r>
      <w:r w:rsidR="00BE2229" w:rsidRPr="009D7884">
        <w:rPr>
          <w:sz w:val="26"/>
          <w:szCs w:val="26"/>
        </w:rPr>
        <w:t>;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 xml:space="preserve">.Исчерпывающего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Pr="00976AE6">
        <w:rPr>
          <w:rFonts w:ascii="Times New Roman" w:hAnsi="Times New Roman"/>
          <w:sz w:val="26"/>
          <w:szCs w:val="26"/>
        </w:rPr>
        <w:t xml:space="preserve">с ОВЗ.Вместе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4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бланки),приведении в порядок рабочего места и подготовке необходимых принадлежностей;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7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хкатегорий</w:t>
      </w:r>
      <w:r w:rsidRPr="005A6DB6">
        <w:rPr>
          <w:sz w:val="26"/>
          <w:szCs w:val="26"/>
        </w:rPr>
        <w:t>участников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</w:t>
      </w:r>
      <w:r w:rsidR="00AA169A" w:rsidRPr="001A63B2">
        <w:rPr>
          <w:sz w:val="26"/>
          <w:szCs w:val="26"/>
        </w:rPr>
        <w:lastRenderedPageBreak/>
        <w:t>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>.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).Шрифт, используемый вКИМ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 xml:space="preserve">экзаменаиз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</w:t>
      </w:r>
      <w:r>
        <w:rPr>
          <w:sz w:val="26"/>
          <w:szCs w:val="26"/>
        </w:rPr>
        <w:lastRenderedPageBreak/>
        <w:t>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>
        <w:rPr>
          <w:sz w:val="26"/>
          <w:szCs w:val="26"/>
        </w:rPr>
        <w:t>В этом случае организуется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</w:t>
      </w:r>
      <w:r w:rsidRPr="00527803">
        <w:rPr>
          <w:sz w:val="26"/>
          <w:szCs w:val="26"/>
        </w:rPr>
        <w:lastRenderedPageBreak/>
        <w:t xml:space="preserve">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.М</w:t>
      </w:r>
      <w:r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9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10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1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2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Pr="001A63B2">
        <w:rPr>
          <w:sz w:val="26"/>
          <w:szCs w:val="26"/>
        </w:rPr>
        <w:t>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3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Pr="001A63B2">
        <w:rPr>
          <w:bCs/>
          <w:sz w:val="26"/>
          <w:szCs w:val="26"/>
        </w:rPr>
        <w:t>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4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 w:rsidRPr="002C6BA3">
        <w:rPr>
          <w:bCs/>
          <w:sz w:val="26"/>
          <w:szCs w:val="26"/>
        </w:rPr>
        <w:t>Порядком</w:t>
      </w:r>
      <w:r w:rsidR="00EE349A">
        <w:rPr>
          <w:bCs/>
          <w:sz w:val="26"/>
          <w:szCs w:val="26"/>
        </w:rPr>
        <w:t>ГИА-11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lastRenderedPageBreak/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 xml:space="preserve">увеличенные)и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 xml:space="preserve">.Шрифт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lastRenderedPageBreak/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 xml:space="preserve">,не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AF" w:rsidRDefault="00AD66AF" w:rsidP="00E26F70">
      <w:r>
        <w:separator/>
      </w:r>
    </w:p>
  </w:endnote>
  <w:endnote w:type="continuationSeparator" w:id="1">
    <w:p w:rsidR="00AD66AF" w:rsidRDefault="00AD66AF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7776C7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AC60EA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AF" w:rsidRDefault="00AD66AF" w:rsidP="00E26F70">
      <w:r>
        <w:separator/>
      </w:r>
    </w:p>
  </w:footnote>
  <w:footnote w:type="continuationSeparator" w:id="1">
    <w:p w:rsidR="00AD66AF" w:rsidRDefault="00AD66AF" w:rsidP="00E26F70">
      <w:r>
        <w:continuationSeparator/>
      </w:r>
    </w:p>
  </w:footnote>
  <w:footnote w:id="2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3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4">
    <w:p w:rsidR="00D2002B" w:rsidRDefault="00D2002B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5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7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8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9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10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Припроведение ОГЭ по иностранным языкам (раздел «Говорение») см. примечание 1 к настоящим Методическим рекомендациям. </w:t>
      </w:r>
    </w:p>
  </w:footnote>
  <w:footnote w:id="11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4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776C7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C60EA"/>
    <w:rsid w:val="00AD1F1D"/>
    <w:rsid w:val="00AD2C5C"/>
    <w:rsid w:val="00AD66AF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10918</Words>
  <Characters>62237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Завуч</cp:lastModifiedBy>
  <cp:revision>2</cp:revision>
  <cp:lastPrinted>2017-12-27T13:58:00Z</cp:lastPrinted>
  <dcterms:created xsi:type="dcterms:W3CDTF">2020-04-07T13:00:00Z</dcterms:created>
  <dcterms:modified xsi:type="dcterms:W3CDTF">2020-04-07T13:00:00Z</dcterms:modified>
</cp:coreProperties>
</file>